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588" w:rsidRPr="00765547" w:rsidRDefault="00820588" w:rsidP="0082058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5547">
        <w:rPr>
          <w:rFonts w:ascii="Times New Roman" w:hAnsi="Times New Roman" w:cs="Times New Roman"/>
          <w:sz w:val="24"/>
          <w:szCs w:val="24"/>
        </w:rPr>
        <w:t>A visual component helps a student see as well as read what Bloom’s Taxonomy means and represents.  For a visual learner this helps put the pieces of the puzzle together.  A v</w:t>
      </w:r>
      <w:r w:rsidRPr="00765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isual component is </w:t>
      </w:r>
      <w:r w:rsidR="00765547" w:rsidRPr="00765547">
        <w:rPr>
          <w:rFonts w:ascii="Times New Roman" w:eastAsia="Times New Roman" w:hAnsi="Times New Roman" w:cs="Times New Roman"/>
          <w:color w:val="000000"/>
          <w:sz w:val="24"/>
          <w:szCs w:val="24"/>
        </w:rPr>
        <w:t>a learning</w:t>
      </w:r>
      <w:r w:rsidRPr="00765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tool. They are used to convey an idea more effectively. Another reason for usin</w:t>
      </w:r>
      <w:bookmarkStart w:id="0" w:name="_GoBack"/>
      <w:bookmarkEnd w:id="0"/>
      <w:r w:rsidRPr="00765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 a visual component is to help an audience use their visual ability into full capacity. A visual component can give more information to the </w:t>
      </w:r>
      <w:r w:rsidR="00765547" w:rsidRPr="00765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audience if they choose to start the visual component. </w:t>
      </w:r>
    </w:p>
    <w:p w:rsidR="009439A4" w:rsidRDefault="00765547"/>
    <w:sectPr w:rsidR="00943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588"/>
    <w:rsid w:val="00671F66"/>
    <w:rsid w:val="00765547"/>
    <w:rsid w:val="00820588"/>
    <w:rsid w:val="00FA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97C340-D0E2-4D13-A760-BC41414D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Donatacci</dc:creator>
  <cp:keywords/>
  <dc:description/>
  <cp:lastModifiedBy>Helen Donatacci</cp:lastModifiedBy>
  <cp:revision>1</cp:revision>
  <dcterms:created xsi:type="dcterms:W3CDTF">2013-07-08T01:04:00Z</dcterms:created>
  <dcterms:modified xsi:type="dcterms:W3CDTF">2013-07-08T01:17:00Z</dcterms:modified>
</cp:coreProperties>
</file>